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83" w:rsidRDefault="00C97183" w:rsidP="00C97183">
      <w:pPr>
        <w:widowControl/>
        <w:jc w:val="center"/>
        <w:rPr>
          <w:rFonts w:ascii="Helvetica" w:eastAsia="宋体" w:hAnsi="Helvetica" w:cs="宋体" w:hint="eastAsia"/>
          <w:b/>
          <w:bCs/>
          <w:color w:val="404040"/>
          <w:kern w:val="0"/>
          <w:sz w:val="48"/>
          <w:szCs w:val="54"/>
        </w:rPr>
      </w:pPr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不断提高问</w:t>
      </w:r>
      <w:proofErr w:type="gramStart"/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责工作</w:t>
      </w:r>
      <w:proofErr w:type="gramEnd"/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的政治性精准性实效性</w:t>
      </w:r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——</w:t>
      </w:r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新修订的《中国共产党问责条例》解</w:t>
      </w:r>
      <w:r w:rsidR="00FE4537">
        <w:rPr>
          <w:rFonts w:ascii="Helvetica" w:eastAsia="宋体" w:hAnsi="Helvetica" w:cs="宋体" w:hint="eastAsia"/>
          <w:b/>
          <w:bCs/>
          <w:color w:val="404040"/>
          <w:kern w:val="0"/>
          <w:sz w:val="48"/>
          <w:szCs w:val="54"/>
        </w:rPr>
        <w:t xml:space="preserve">  </w:t>
      </w:r>
      <w:r w:rsidRPr="00C97183"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  <w:t>读</w:t>
      </w:r>
    </w:p>
    <w:p w:rsidR="00FE4537" w:rsidRPr="00C97183" w:rsidRDefault="00FE4537" w:rsidP="00C97183">
      <w:pPr>
        <w:widowControl/>
        <w:jc w:val="center"/>
        <w:rPr>
          <w:rFonts w:ascii="Helvetica" w:eastAsia="宋体" w:hAnsi="Helvetica" w:cs="宋体"/>
          <w:b/>
          <w:bCs/>
          <w:color w:val="404040"/>
          <w:kern w:val="0"/>
          <w:sz w:val="48"/>
          <w:szCs w:val="54"/>
        </w:rPr>
      </w:pPr>
    </w:p>
    <w:p w:rsidR="00C97183" w:rsidRPr="00C97183" w:rsidRDefault="00FE4537" w:rsidP="00C97183">
      <w:pPr>
        <w:widowControl/>
        <w:jc w:val="center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>
        <w:rPr>
          <w:rFonts w:ascii="Helvetica" w:eastAsia="宋体" w:hAnsi="Helvetica" w:cs="宋体" w:hint="eastAsia"/>
          <w:color w:val="404040"/>
          <w:kern w:val="0"/>
          <w:sz w:val="28"/>
          <w:szCs w:val="28"/>
        </w:rPr>
        <w:t>时间：</w:t>
      </w:r>
      <w:r w:rsidR="00C97183"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2019-09-05 </w:t>
      </w:r>
      <w:r>
        <w:rPr>
          <w:rFonts w:ascii="Helvetica" w:eastAsia="宋体" w:hAnsi="Helvetica" w:cs="宋体" w:hint="eastAsia"/>
          <w:color w:val="404040"/>
          <w:kern w:val="0"/>
          <w:sz w:val="28"/>
          <w:szCs w:val="28"/>
        </w:rPr>
        <w:t xml:space="preserve"> </w:t>
      </w:r>
      <w:r w:rsidR="00C97183"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 </w:t>
      </w:r>
      <w:r w:rsidR="00C97183"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来源：</w:t>
      </w:r>
      <w:bookmarkStart w:id="0" w:name="_GoBack"/>
      <w:bookmarkEnd w:id="0"/>
      <w:r w:rsidR="00C97183"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 </w:t>
      </w:r>
      <w:r w:rsidR="00C97183"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新华网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7"/>
          <w:szCs w:val="27"/>
        </w:rPr>
        <w:t xml:space="preserve">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</w:t>
      </w:r>
      <w:r w:rsidRPr="00695CEE">
        <w:rPr>
          <w:rFonts w:ascii="Helvetica" w:eastAsia="宋体" w:hAnsi="Helvetica" w:cs="宋体" w:hint="eastAsia"/>
          <w:color w:val="404040"/>
          <w:kern w:val="0"/>
          <w:sz w:val="28"/>
          <w:szCs w:val="28"/>
        </w:rPr>
        <w:t>2019</w:t>
      </w:r>
      <w:r w:rsidRPr="00695CEE">
        <w:rPr>
          <w:rFonts w:ascii="Helvetica" w:eastAsia="宋体" w:hAnsi="Helvetica" w:cs="宋体" w:hint="eastAsia"/>
          <w:color w:val="404040"/>
          <w:kern w:val="0"/>
          <w:sz w:val="28"/>
          <w:szCs w:val="28"/>
        </w:rPr>
        <w:t>年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9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月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4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日，新修订的《中国共产党问责条例》全文公布。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新版条例根据全面从严治党的新实践，在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2016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年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7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月制定的问责条例基础上进行了较大幅度的修订，进一步健全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完善问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责的原则、内容、程序和方式等，不断提高党的问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的政治性、精准性、实效性。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b/>
          <w:bCs/>
          <w:color w:val="000080"/>
          <w:kern w:val="0"/>
          <w:sz w:val="28"/>
          <w:szCs w:val="28"/>
        </w:rPr>
        <w:t xml:space="preserve">　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　</w:t>
      </w:r>
      <w:r w:rsidR="00695CEE" w:rsidRPr="00695CEE"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  <w:t>一、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突出政治性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 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把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“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两个维护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”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作为根本原则和首要任务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新版条例开宗明义强调立规目的是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为了坚持党的领导，加强党的建设，全面从严治党，保证党的路线方针政策和党中央重大决策部署贯彻落实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，明确了习近平新时代中国特色社会主义思想的指导地位，并将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坚决维护习近平总书记党中央的核心、全党的核心地位，坚决维护党中央权威和集中统一领导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作为根本原则和首要任务，体现问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的政治性。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对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谁来问责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，即问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责主体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方面，新修订的《条例》对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开展问责工作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3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类主体的职责规定得更加明确具体：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党委（党组）应当履行全面从严治党主体责任，加强对本地区本部门本单位问责工作的领导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纪委应当履行监督专责，协助同级党委开展问责工作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党的工作机关应当依据职能履行监督职责，实施本机关本系统本领域的问责工作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。</w:t>
      </w:r>
    </w:p>
    <w:p w:rsidR="00C97183" w:rsidRPr="00C97183" w:rsidRDefault="00C97183" w:rsidP="00C97183">
      <w:pPr>
        <w:widowControl/>
        <w:spacing w:after="225" w:line="540" w:lineRule="atLeast"/>
        <w:jc w:val="center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noProof/>
          <w:color w:val="404040"/>
          <w:kern w:val="0"/>
          <w:sz w:val="28"/>
          <w:szCs w:val="28"/>
        </w:rPr>
        <w:drawing>
          <wp:inline distT="0" distB="0" distL="0" distR="0" wp14:anchorId="39F9CB13" wp14:editId="3EF06D8C">
            <wp:extent cx="5818723" cy="5419725"/>
            <wp:effectExtent l="0" t="0" r="0" b="0"/>
            <wp:docPr id="2" name="{9E7CCB35-C148-42A6-B412-218E1725D10D}" descr="http://www.xinhuanet.com/politics/2019-09/05/1124965529_15676934031491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9E7CCB35-C148-42A6-B412-218E1725D10D}" descr="http://www.xinhuanet.com/politics/2019-09/05/1124965529_15676934031491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723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同时，为强化上级党组织对问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的领导和监督，新修订的《条例》明确了纪委、党的工作机关启动问责调查、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作出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责决定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等有关事项应当报经同级党委或者其主要负责人批准的情形。并明确规定：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应当启动问责调查未及时启动的，上级党组织应当责令有管理权限的党组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>织启动。根据问题性质或者工作需要，上级党组织可以直接启动问责调查，也可以指定其他党组织启动。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中央纪委国家监委法规室负责人表示，这些规定旨在进一步压实管党治党政治责任，把制度的刚性立起来，督促各级党组织和党的领导干部强化政治担当、积极主动作为。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b/>
          <w:bCs/>
          <w:kern w:val="0"/>
          <w:sz w:val="32"/>
          <w:szCs w:val="28"/>
        </w:rPr>
      </w:pPr>
      <w:r w:rsidRPr="00C97183">
        <w:rPr>
          <w:rFonts w:ascii="Helvetica" w:eastAsia="宋体" w:hAnsi="Helvetica" w:cs="宋体"/>
          <w:b/>
          <w:bCs/>
          <w:color w:val="000080"/>
          <w:kern w:val="0"/>
          <w:sz w:val="28"/>
          <w:szCs w:val="28"/>
        </w:rPr>
        <w:t xml:space="preserve">　　</w:t>
      </w:r>
      <w:r w:rsidR="00695CEE" w:rsidRPr="00695CEE"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  <w:t>二、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强化精准性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 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将原有的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6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大类问责情形修改为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11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大类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因祁连山国家级自然保护区生态环境问题，甘肃省委、省政府以及包括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3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名省部级领导在内的多名领导干部被问责；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因党的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领导严重弱化、党组织严重软弱涣散等问题，北京农产品中央批发市场管委会党委被改组；因洞庭湖区下塞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湖非法矮围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问题，湖南省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62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名国家公职人员被问责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……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一系列严肃问责的案例，为法规制度进一步完善提供实践依据。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在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问责什么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方面，新修订的《条例》落实党中央新要求，吸收实践新经验，进一步丰富细化问责情形，提出更高更严的标准，将原有的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6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大类问责情形修改为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11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大类。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首先，在原有基础上，明确将以下方面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列为问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责情形：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党的政治建设抓得不实，在重大原则问题上未能同党中央保持一致，贯彻落实党的路线方针政策和执行党中央重大决策部署不力；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党的思想建设缺失，党性教育特别是理想信念宗旨教育流于形式，意识形态工作责任制落实不到位；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党的组织建设薄弱，党建工作责任制不落实，严重违反民主集中制原则，党的组织生活制度不执行，党组织软弱涣散；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党的作风建设松懈，落实中央八项规定及其实施细则精神不力，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四风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问题得不到有效整治，形式主义、官僚主义问题突出；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履行管理、监督职责不力，职责范围内发生重特大生产安全事故、群体性事件、公共安全事件；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在教育医疗、生态环境保护、食品药品安全、扶贫脱贫、社会保障等涉及人民群众最关心最直接最现实的利益问题上不作为、乱作为、慢作为、假作为等。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其次，对于党的领导弱化、党的纪律建设抓得不严、推进党风廉政建设和反腐败斗争不坚决不扎实、全面从严治党主体责任监督责任落实不到位等问责情形，也根据形势任务和实践发展进行了修改完善。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b/>
          <w:bCs/>
          <w:color w:val="000080"/>
          <w:kern w:val="0"/>
          <w:sz w:val="28"/>
          <w:szCs w:val="28"/>
        </w:rPr>
        <w:t xml:space="preserve">　　</w:t>
      </w:r>
      <w:r w:rsidR="00695CEE" w:rsidRPr="00695CEE"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  <w:t>三、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坚持问题导向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 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解决问责泛化简单化等问题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党的十八大以来，以习近平同志为核心的党中央紧紧抓住管党治党政治责任这个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牛鼻子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，积极探索实践，以问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责倒逼责任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落实。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2016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年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7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月，首部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聚焦问责工作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的党内法规《中国共产党问责条例》印发，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让问责工作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有章可循，发挥了全面从严治党的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利器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作用。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根据十九届中央纪委三次全会工作报告，仅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2018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年，全国就有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1.3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万个单位党委（党组）、党总支、党支部，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237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个纪委（纪检组），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6.1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万名党员领导干部被问责，失责必问、问责必严成为常态。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问责条例实施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3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年来，问责持续深入、内容和方式不断创新，为完善问责制度积累了宝贵经验，需要加以总结提炼。同时，实践中也出现了问责不到位、程序不规范、问责泛化简单化等问题。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中央纪委国家监委法规室负责人介绍，这其中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既有问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责不严、避重就轻的问题，也有问责泛化、简单粗暴的问题；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既有问责程序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不够规范的问题，也有问责尺度把握不一的问题；既有以简单问责下级代替自己整改落实的问题，也有以追究直接责任代替追究领导责任的问题；既有不敢担当、不愿负责等没有根除的老问题，也有形式主义、官僚主义等不断凸显的新问题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因此，此次条例修订，就是要坚持目标导向和问题导向，进一步健全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完善问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责的原则、程序和方式，进一步强化规范问责、精准问责。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b/>
          <w:bCs/>
          <w:kern w:val="0"/>
          <w:sz w:val="32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记者注意到，新版条例全文一共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27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条，与原条例的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13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条相比，体现出更严更细更全的鲜明特点，充分表明管党治党的制度笼子越扎越密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。</w:t>
      </w:r>
    </w:p>
    <w:p w:rsidR="00695CEE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</w:pP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　　</w:t>
      </w:r>
    </w:p>
    <w:p w:rsidR="00C97183" w:rsidRPr="00C97183" w:rsidRDefault="00695CEE" w:rsidP="00695CEE">
      <w:pPr>
        <w:widowControl/>
        <w:spacing w:after="225" w:line="540" w:lineRule="atLeast"/>
        <w:ind w:firstLineChars="150" w:firstLine="482"/>
        <w:jc w:val="left"/>
        <w:rPr>
          <w:rFonts w:ascii="Helvetica" w:eastAsia="宋体" w:hAnsi="Helvetica" w:cs="宋体"/>
          <w:b/>
          <w:bCs/>
          <w:kern w:val="0"/>
          <w:sz w:val="32"/>
          <w:szCs w:val="28"/>
        </w:rPr>
      </w:pPr>
      <w:r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  <w:t>四、</w:t>
      </w:r>
      <w:r w:rsidR="00C97183"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提高规范化</w:t>
      </w:r>
      <w:r w:rsidR="00C97183"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 </w:t>
      </w:r>
      <w:r w:rsidR="00C97183"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把问</w:t>
      </w:r>
      <w:proofErr w:type="gramStart"/>
      <w:r w:rsidR="00C97183"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责权力</w:t>
      </w:r>
      <w:proofErr w:type="gramEnd"/>
      <w:r w:rsidR="00C97183"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关进制度笼子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针对实践中问责不力、问责泛化简单化、程序不规范等问题，新修订的《条例》坚持对症下药，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完善问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责机制，查堵偏差漏洞。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着眼分清责任、严肃问责，新修订的《条例》增加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权责一致、错责相当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集体决定、分清责任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等作为问责原则，明确提出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党组织和党的领导干部应当坚持把自己摆进去、把职责摆进去、把工作摆进去，注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>重从自身找问题、查原因，勇于担当、敢于负责，不得向下级党组织和干部推卸责任。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着眼规范问责、精准问责，新修订的《条例》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增加问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责程序，从启动、调查、报告、审批、实施等各个环节对问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予以全面规范：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启动问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责调查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和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作出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责决定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应当履行严格的审批程序；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启动问责调查后，应当组成调查组，依规依纪依法开展调查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查明调查对象失职失责问题后，调查组应当撰写事实材料，与调查对象见面，听取其陈述和申辩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调查工作结束后，调查组应当集体讨论，形成调查报告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，应综合考虑主客观因素，正确区分不同情况，精准提出处理意见；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——“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问责对象对问责决定不服的，可以自收到问责决定之日起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1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个月内，向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作出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问责决定的党组织提出书面申诉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，对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滥用问责或者在问责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工作中严重不负责任的严肃追究责任。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……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b/>
          <w:bCs/>
          <w:kern w:val="0"/>
          <w:sz w:val="32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中央纪委国家监委法规室负责人表示，从问责机制和程序上进行细化规定，就是要做到严肃问责、规范问责、精准问责、慎重问责，把问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责权力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关进制度的笼子，不断提高问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责工作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科学化和规范化水平。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b/>
          <w:bCs/>
          <w:kern w:val="0"/>
          <w:sz w:val="32"/>
          <w:szCs w:val="28"/>
        </w:rPr>
      </w:pP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　　</w:t>
      </w:r>
      <w:r w:rsidR="00695CEE">
        <w:rPr>
          <w:rFonts w:ascii="Helvetica" w:eastAsia="宋体" w:hAnsi="Helvetica" w:cs="宋体" w:hint="eastAsia"/>
          <w:b/>
          <w:bCs/>
          <w:kern w:val="0"/>
          <w:sz w:val="32"/>
          <w:szCs w:val="28"/>
        </w:rPr>
        <w:t>五、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力求实效性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 xml:space="preserve"> </w:t>
      </w:r>
      <w:r w:rsidRPr="00C97183">
        <w:rPr>
          <w:rFonts w:ascii="Helvetica" w:eastAsia="宋体" w:hAnsi="Helvetica" w:cs="宋体"/>
          <w:b/>
          <w:bCs/>
          <w:kern w:val="0"/>
          <w:sz w:val="32"/>
          <w:szCs w:val="28"/>
        </w:rPr>
        <w:t>激发干部担当作为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严管和厚爱结合、激励和约束并重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”——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在问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工作的原则中，新修订的《条例》明确增加了这么一条。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新修订的《条例》既强化责任担当，又注意保护干部干事创业的积极性。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一方面，明确坚持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失责必问、问责必严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，并将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该问责不问责，造成严重后果的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也列入要问责的情形，重申对失职失责性质恶劣、后果严重的，实行终身问责。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另一方面，落实党中央提出的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三个区分开来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的要求，精准把握政策，区分不同情况，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作出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恰当处理。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对于在推进改革中因缺乏经验、先行先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试出现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的失误，尚无明确限制的探索性试验中的失误，为推动发展的无意过失等情形可以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不予问责或者免予问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责；对于及时采取补救措施，有效挽回损失或者消除不良影响等情形可以从轻或者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减轻问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责；对党中央、上级党组织三令五申的指示要求不执行或者执行不力等情形，则规定应当从重或者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加重问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责。</w:t>
      </w:r>
    </w:p>
    <w:p w:rsidR="00C97183" w:rsidRPr="00C97183" w:rsidRDefault="00C97183" w:rsidP="00C97183">
      <w:pPr>
        <w:widowControl/>
        <w:spacing w:after="225"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为树立鲜明的干事导向，新修订的《条例》还规定，要正确对待被问责干部：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对影响期满、表现好的干部，符合条件的，按照干部选拔任用有关规定正常使用。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</w:p>
    <w:p w:rsidR="00C97183" w:rsidRPr="00C97183" w:rsidRDefault="00C97183" w:rsidP="00C97183">
      <w:pPr>
        <w:widowControl/>
        <w:spacing w:line="540" w:lineRule="atLeast"/>
        <w:jc w:val="left"/>
        <w:rPr>
          <w:rFonts w:ascii="Helvetica" w:eastAsia="宋体" w:hAnsi="Helvetica" w:cs="宋体"/>
          <w:color w:val="404040"/>
          <w:kern w:val="0"/>
          <w:sz w:val="28"/>
          <w:szCs w:val="28"/>
        </w:rPr>
      </w:pP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 xml:space="preserve">　　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“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实施问责的最终目的，是要督促党组织和领导干部强化责任意识，激发担当精神，而不是束缚干部手脚。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”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中央纪委国家监委法规室负责人说，条例的修订有利于通过精准规范问</w:t>
      </w:r>
      <w:proofErr w:type="gramStart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责促进</w:t>
      </w:r>
      <w:proofErr w:type="gramEnd"/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t>各级党组织和领导干部</w:t>
      </w:r>
      <w:r w:rsidRPr="00C97183">
        <w:rPr>
          <w:rFonts w:ascii="Helvetica" w:eastAsia="宋体" w:hAnsi="Helvetica" w:cs="宋体"/>
          <w:color w:val="404040"/>
          <w:kern w:val="0"/>
          <w:sz w:val="28"/>
          <w:szCs w:val="28"/>
        </w:rPr>
        <w:lastRenderedPageBreak/>
        <w:t>牢记初心使命、勇于担当作为，形成建功新时代、争创新业绩的浓厚氛围和生动局面。</w:t>
      </w:r>
    </w:p>
    <w:p w:rsidR="00684F67" w:rsidRPr="00695CEE" w:rsidRDefault="00976A75">
      <w:pPr>
        <w:rPr>
          <w:sz w:val="28"/>
          <w:szCs w:val="28"/>
        </w:rPr>
      </w:pPr>
    </w:p>
    <w:sectPr w:rsidR="00684F67" w:rsidRPr="00695CEE" w:rsidSect="00FE453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75" w:rsidRDefault="00976A75" w:rsidP="00695CEE">
      <w:r>
        <w:separator/>
      </w:r>
    </w:p>
  </w:endnote>
  <w:endnote w:type="continuationSeparator" w:id="0">
    <w:p w:rsidR="00976A75" w:rsidRDefault="00976A75" w:rsidP="0069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68707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695CEE" w:rsidRDefault="00695CE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45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453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CEE" w:rsidRDefault="00695C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75" w:rsidRDefault="00976A75" w:rsidP="00695CEE">
      <w:r>
        <w:separator/>
      </w:r>
    </w:p>
  </w:footnote>
  <w:footnote w:type="continuationSeparator" w:id="0">
    <w:p w:rsidR="00976A75" w:rsidRDefault="00976A75" w:rsidP="00695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83"/>
    <w:rsid w:val="003C0567"/>
    <w:rsid w:val="00695CEE"/>
    <w:rsid w:val="00976A75"/>
    <w:rsid w:val="00C06691"/>
    <w:rsid w:val="00C97183"/>
    <w:rsid w:val="00FE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71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718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95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95CE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95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95C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71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718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95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95CE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95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95C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189">
          <w:marLeft w:val="0"/>
          <w:marRight w:val="0"/>
          <w:marTop w:val="69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77736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580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0607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7548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413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2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2121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48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46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17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928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505</Words>
  <Characters>2883</Characters>
  <Application>Microsoft Office Word</Application>
  <DocSecurity>0</DocSecurity>
  <Lines>24</Lines>
  <Paragraphs>6</Paragraphs>
  <ScaleCrop>false</ScaleCrop>
  <Company>Microsoft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3</cp:revision>
  <dcterms:created xsi:type="dcterms:W3CDTF">2019-09-20T06:51:00Z</dcterms:created>
  <dcterms:modified xsi:type="dcterms:W3CDTF">2019-09-20T07:03:00Z</dcterms:modified>
</cp:coreProperties>
</file>